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1083" w14:textId="4C61C28A" w:rsidR="00304E48" w:rsidRDefault="00304E48" w:rsidP="00304E48">
      <w:hyperlink r:id="rId4" w:history="1">
        <w:r>
          <w:rPr>
            <w:rStyle w:val="Hyperlink"/>
          </w:rPr>
          <w:t>The University of Mississippi Medical Center (highmarksce.com)</w:t>
        </w:r>
      </w:hyperlink>
    </w:p>
    <w:p w14:paraId="5D710498" w14:textId="77777777" w:rsidR="00304E48" w:rsidRPr="00304E48" w:rsidRDefault="00304E48" w:rsidP="00304E48"/>
    <w:sectPr w:rsidR="00304E48" w:rsidRPr="0030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48"/>
    <w:rsid w:val="003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6228"/>
  <w15:chartTrackingRefBased/>
  <w15:docId w15:val="{3E04F94B-9686-414F-9BAE-C18191AB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2.highmarksce.com/ummc/index.cfm?do=pln.viewActivity&amp;plannerID=2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2022-05-24T14:19:00Z</dcterms:created>
  <dcterms:modified xsi:type="dcterms:W3CDTF">2022-05-24T14:22:00Z</dcterms:modified>
</cp:coreProperties>
</file>